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39147" w14:textId="77777777" w:rsidR="0024403D" w:rsidRDefault="0024403D" w:rsidP="0024403D">
      <w:pPr>
        <w:pStyle w:val="ListParagraph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kern w:val="24"/>
          <w:sz w:val="28"/>
          <w:szCs w:val="28"/>
        </w:rPr>
      </w:pPr>
      <w:r w:rsidRPr="00C92BB1">
        <w:rPr>
          <w:rFonts w:ascii="Arial" w:hAnsi="Arial" w:cs="Arial"/>
          <w:b/>
          <w:kern w:val="24"/>
          <w:sz w:val="28"/>
          <w:szCs w:val="28"/>
        </w:rPr>
        <w:t>Pediatric Orthopedic Pathology</w:t>
      </w:r>
    </w:p>
    <w:p w14:paraId="7B390324" w14:textId="77777777" w:rsidR="0024403D" w:rsidRPr="00C92BB1" w:rsidRDefault="0024403D" w:rsidP="0024403D">
      <w:pPr>
        <w:pStyle w:val="ListParagraph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Dr. Gary Mumaugh – UNW St. Paul</w:t>
      </w:r>
    </w:p>
    <w:p w14:paraId="553A7EAD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kern w:val="24"/>
        </w:rPr>
      </w:pPr>
    </w:p>
    <w:p w14:paraId="401AA3C4" w14:textId="77777777" w:rsidR="0024403D" w:rsidRPr="00F2586E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DF4979" wp14:editId="3412A80F">
            <wp:simplePos x="0" y="0"/>
            <wp:positionH relativeFrom="column">
              <wp:posOffset>4335145</wp:posOffset>
            </wp:positionH>
            <wp:positionV relativeFrom="paragraph">
              <wp:posOffset>6350</wp:posOffset>
            </wp:positionV>
            <wp:extent cx="2352040" cy="1967230"/>
            <wp:effectExtent l="0" t="0" r="0" b="0"/>
            <wp:wrapSquare wrapText="bothSides"/>
            <wp:docPr id="9219" name="Picture 5" descr="038001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5" descr="038001ab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3" t="729" r="643" b="50051"/>
                    <a:stretch/>
                  </pic:blipFill>
                  <pic:spPr bwMode="auto">
                    <a:xfrm>
                      <a:off x="0" y="0"/>
                      <a:ext cx="235204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BB1">
        <w:rPr>
          <w:rFonts w:ascii="Arial" w:hAnsi="Arial" w:cs="Arial"/>
          <w:b/>
          <w:kern w:val="24"/>
        </w:rPr>
        <w:t>Congenital Defects</w:t>
      </w:r>
      <w:r>
        <w:rPr>
          <w:rFonts w:ascii="Arial" w:hAnsi="Arial" w:cs="Arial"/>
          <w:b/>
          <w:kern w:val="24"/>
        </w:rPr>
        <w:t xml:space="preserve"> - </w:t>
      </w:r>
      <w:r w:rsidRPr="00F2586E">
        <w:rPr>
          <w:rFonts w:ascii="Arial" w:hAnsi="Arial" w:cs="Arial"/>
          <w:b/>
          <w:kern w:val="24"/>
        </w:rPr>
        <w:t xml:space="preserve">Clubfoot (congenital </w:t>
      </w:r>
      <w:proofErr w:type="spellStart"/>
      <w:r w:rsidRPr="00F2586E">
        <w:rPr>
          <w:rFonts w:ascii="Arial" w:hAnsi="Arial" w:cs="Arial"/>
          <w:b/>
          <w:kern w:val="24"/>
        </w:rPr>
        <w:t>equinovarus</w:t>
      </w:r>
      <w:proofErr w:type="spellEnd"/>
      <w:r w:rsidRPr="00F2586E">
        <w:rPr>
          <w:rFonts w:ascii="Arial" w:hAnsi="Arial" w:cs="Arial"/>
          <w:b/>
          <w:kern w:val="24"/>
        </w:rPr>
        <w:t>)</w:t>
      </w:r>
    </w:p>
    <w:p w14:paraId="590965C7" w14:textId="77777777" w:rsidR="0024403D" w:rsidRDefault="0024403D" w:rsidP="002440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F2586E">
        <w:rPr>
          <w:rFonts w:ascii="Arial" w:hAnsi="Arial" w:cs="Arial"/>
          <w:kern w:val="24"/>
        </w:rPr>
        <w:t>Forefoot is adducted and supinated</w:t>
      </w:r>
    </w:p>
    <w:p w14:paraId="58925962" w14:textId="77777777" w:rsidR="0024403D" w:rsidRDefault="0024403D" w:rsidP="0024403D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DA594B">
        <w:rPr>
          <w:rFonts w:ascii="Arial" w:hAnsi="Arial" w:cs="Arial"/>
          <w:kern w:val="24"/>
        </w:rPr>
        <w:t xml:space="preserve">Positional </w:t>
      </w:r>
      <w:proofErr w:type="spellStart"/>
      <w:r w:rsidRPr="00DA594B">
        <w:rPr>
          <w:rFonts w:ascii="Arial" w:hAnsi="Arial" w:cs="Arial"/>
          <w:kern w:val="24"/>
        </w:rPr>
        <w:t>equinovarus</w:t>
      </w:r>
      <w:proofErr w:type="spellEnd"/>
    </w:p>
    <w:p w14:paraId="017BF97E" w14:textId="77777777" w:rsidR="0024403D" w:rsidRDefault="0024403D" w:rsidP="0024403D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DA594B">
        <w:rPr>
          <w:rFonts w:ascii="Arial" w:hAnsi="Arial" w:cs="Arial"/>
          <w:kern w:val="24"/>
        </w:rPr>
        <w:t xml:space="preserve">Idiopathic congenital </w:t>
      </w:r>
      <w:proofErr w:type="spellStart"/>
      <w:r w:rsidRPr="00DA594B">
        <w:rPr>
          <w:rFonts w:ascii="Arial" w:hAnsi="Arial" w:cs="Arial"/>
          <w:kern w:val="24"/>
        </w:rPr>
        <w:t>equinovarus</w:t>
      </w:r>
      <w:proofErr w:type="spellEnd"/>
    </w:p>
    <w:p w14:paraId="0C1F180A" w14:textId="77777777" w:rsidR="0024403D" w:rsidRPr="00DA594B" w:rsidRDefault="0024403D" w:rsidP="0024403D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proofErr w:type="spellStart"/>
      <w:r w:rsidRPr="00DA594B">
        <w:rPr>
          <w:rFonts w:ascii="Arial" w:hAnsi="Arial" w:cs="Arial"/>
          <w:kern w:val="24"/>
        </w:rPr>
        <w:t>Teratologic</w:t>
      </w:r>
      <w:proofErr w:type="spellEnd"/>
      <w:r w:rsidRPr="00DA594B">
        <w:rPr>
          <w:rFonts w:ascii="Arial" w:hAnsi="Arial" w:cs="Arial"/>
          <w:kern w:val="24"/>
        </w:rPr>
        <w:t xml:space="preserve"> </w:t>
      </w:r>
      <w:proofErr w:type="spellStart"/>
      <w:r w:rsidRPr="00DA594B">
        <w:rPr>
          <w:rFonts w:ascii="Arial" w:hAnsi="Arial" w:cs="Arial"/>
          <w:kern w:val="24"/>
        </w:rPr>
        <w:t>equinovarus</w:t>
      </w:r>
      <w:proofErr w:type="spellEnd"/>
    </w:p>
    <w:p w14:paraId="1FE9F321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6D210081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C92BB1">
        <w:rPr>
          <w:rFonts w:ascii="Arial" w:hAnsi="Arial" w:cs="Arial"/>
          <w:b/>
          <w:kern w:val="24"/>
        </w:rPr>
        <w:t>Congenital Defects</w:t>
      </w:r>
      <w:r>
        <w:rPr>
          <w:rFonts w:ascii="Arial" w:hAnsi="Arial" w:cs="Arial"/>
          <w:b/>
          <w:kern w:val="24"/>
        </w:rPr>
        <w:t xml:space="preserve"> - Developmental Dysplasia of the H</w:t>
      </w:r>
      <w:r w:rsidRPr="00F2586E">
        <w:rPr>
          <w:rFonts w:ascii="Arial" w:hAnsi="Arial" w:cs="Arial"/>
          <w:b/>
          <w:kern w:val="24"/>
        </w:rPr>
        <w:t>ip (DDH)</w:t>
      </w:r>
    </w:p>
    <w:p w14:paraId="261D504F" w14:textId="77777777" w:rsidR="0024403D" w:rsidRPr="00DA594B" w:rsidRDefault="0024403D" w:rsidP="002440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DA594B">
        <w:rPr>
          <w:rFonts w:ascii="Arial" w:hAnsi="Arial" w:cs="Arial"/>
          <w:kern w:val="24"/>
        </w:rPr>
        <w:t>Abnormality of the hip that can affect the femoral head, acetabulum, or both</w:t>
      </w:r>
    </w:p>
    <w:p w14:paraId="4D9EB719" w14:textId="77777777" w:rsidR="0024403D" w:rsidRPr="00DA594B" w:rsidRDefault="0024403D" w:rsidP="0024403D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DA594B">
        <w:rPr>
          <w:rFonts w:ascii="Arial" w:hAnsi="Arial" w:cs="Arial"/>
          <w:kern w:val="24"/>
        </w:rPr>
        <w:t>Risk factors:</w:t>
      </w:r>
    </w:p>
    <w:p w14:paraId="5CE31019" w14:textId="77777777" w:rsidR="0024403D" w:rsidRPr="00DA594B" w:rsidRDefault="0024403D" w:rsidP="0024403D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DA594B">
        <w:rPr>
          <w:rFonts w:ascii="Arial" w:hAnsi="Arial" w:cs="Arial"/>
          <w:kern w:val="24"/>
        </w:rPr>
        <w:t>Female sex</w:t>
      </w:r>
    </w:p>
    <w:p w14:paraId="0DED7D01" w14:textId="77777777" w:rsidR="0024403D" w:rsidRPr="00DA594B" w:rsidRDefault="0024403D" w:rsidP="0024403D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DA594B">
        <w:rPr>
          <w:rFonts w:ascii="Arial" w:hAnsi="Arial" w:cs="Arial"/>
          <w:kern w:val="24"/>
        </w:rPr>
        <w:t>Positive family history</w:t>
      </w:r>
    </w:p>
    <w:p w14:paraId="6AE154BF" w14:textId="77777777" w:rsidR="0024403D" w:rsidRPr="00DA594B" w:rsidRDefault="0024403D" w:rsidP="0024403D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DA594B">
        <w:rPr>
          <w:rFonts w:ascii="Arial" w:hAnsi="Arial" w:cs="Arial"/>
          <w:kern w:val="24"/>
        </w:rPr>
        <w:t>Breech presentation</w:t>
      </w:r>
    </w:p>
    <w:p w14:paraId="617D04DE" w14:textId="77777777" w:rsidR="0024403D" w:rsidRPr="00DA594B" w:rsidRDefault="0024403D" w:rsidP="0024403D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C62017" wp14:editId="2DC9E7A0">
            <wp:simplePos x="0" y="0"/>
            <wp:positionH relativeFrom="column">
              <wp:posOffset>3583305</wp:posOffset>
            </wp:positionH>
            <wp:positionV relativeFrom="paragraph">
              <wp:posOffset>109855</wp:posOffset>
            </wp:positionV>
            <wp:extent cx="3190240" cy="2279015"/>
            <wp:effectExtent l="0" t="0" r="0" b="6985"/>
            <wp:wrapSquare wrapText="bothSides"/>
            <wp:docPr id="57243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94B">
        <w:rPr>
          <w:rFonts w:ascii="Arial" w:hAnsi="Arial" w:cs="Arial"/>
          <w:kern w:val="24"/>
        </w:rPr>
        <w:t xml:space="preserve">The hip can present as </w:t>
      </w:r>
      <w:proofErr w:type="spellStart"/>
      <w:r w:rsidRPr="00DA594B">
        <w:rPr>
          <w:rFonts w:ascii="Arial" w:hAnsi="Arial" w:cs="Arial"/>
          <w:kern w:val="24"/>
        </w:rPr>
        <w:t>subluxated</w:t>
      </w:r>
      <w:proofErr w:type="spellEnd"/>
      <w:r w:rsidRPr="00DA594B">
        <w:rPr>
          <w:rFonts w:ascii="Arial" w:hAnsi="Arial" w:cs="Arial"/>
          <w:kern w:val="24"/>
        </w:rPr>
        <w:t>, dislocated, or acetabular dysplasia</w:t>
      </w:r>
    </w:p>
    <w:p w14:paraId="14309EA1" w14:textId="77777777" w:rsidR="0024403D" w:rsidRPr="00DA594B" w:rsidRDefault="0024403D" w:rsidP="0024403D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DA594B">
        <w:rPr>
          <w:rFonts w:ascii="Arial" w:hAnsi="Arial" w:cs="Arial"/>
          <w:kern w:val="24"/>
        </w:rPr>
        <w:t>Manifestations:</w:t>
      </w:r>
    </w:p>
    <w:p w14:paraId="28424222" w14:textId="77777777" w:rsidR="0024403D" w:rsidRPr="00DA594B" w:rsidRDefault="0024403D" w:rsidP="0024403D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DA594B">
        <w:rPr>
          <w:rFonts w:ascii="Arial" w:hAnsi="Arial" w:cs="Arial"/>
          <w:kern w:val="24"/>
        </w:rPr>
        <w:t>Asymmetry of skinfolds at groin crease</w:t>
      </w:r>
    </w:p>
    <w:p w14:paraId="10EFDC4F" w14:textId="77777777" w:rsidR="0024403D" w:rsidRPr="00DA594B" w:rsidRDefault="0024403D" w:rsidP="0024403D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proofErr w:type="spellStart"/>
      <w:r w:rsidRPr="00DA594B">
        <w:rPr>
          <w:rFonts w:ascii="Arial" w:hAnsi="Arial" w:cs="Arial"/>
          <w:kern w:val="24"/>
        </w:rPr>
        <w:t>Galeazzi</w:t>
      </w:r>
      <w:proofErr w:type="spellEnd"/>
      <w:r w:rsidRPr="00DA594B">
        <w:rPr>
          <w:rFonts w:ascii="Arial" w:hAnsi="Arial" w:cs="Arial"/>
          <w:kern w:val="24"/>
        </w:rPr>
        <w:t xml:space="preserve"> sign</w:t>
      </w:r>
    </w:p>
    <w:p w14:paraId="5CE380E3" w14:textId="77777777" w:rsidR="0024403D" w:rsidRPr="00DA594B" w:rsidRDefault="0024403D" w:rsidP="0024403D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DA594B">
        <w:rPr>
          <w:rFonts w:ascii="Arial" w:hAnsi="Arial" w:cs="Arial"/>
          <w:kern w:val="24"/>
        </w:rPr>
        <w:t>Limitation of hip abduction</w:t>
      </w:r>
    </w:p>
    <w:p w14:paraId="1ED47B87" w14:textId="77777777" w:rsidR="0024403D" w:rsidRPr="00DA594B" w:rsidRDefault="0024403D" w:rsidP="0024403D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DA594B">
        <w:rPr>
          <w:rFonts w:ascii="Arial" w:hAnsi="Arial" w:cs="Arial"/>
          <w:kern w:val="24"/>
        </w:rPr>
        <w:t xml:space="preserve">Positive </w:t>
      </w:r>
      <w:proofErr w:type="spellStart"/>
      <w:r w:rsidRPr="00DA594B">
        <w:rPr>
          <w:rFonts w:ascii="Arial" w:hAnsi="Arial" w:cs="Arial"/>
          <w:kern w:val="24"/>
        </w:rPr>
        <w:t>Ortolani</w:t>
      </w:r>
      <w:proofErr w:type="spellEnd"/>
      <w:r w:rsidRPr="00DA594B">
        <w:rPr>
          <w:rFonts w:ascii="Arial" w:hAnsi="Arial" w:cs="Arial"/>
          <w:kern w:val="24"/>
        </w:rPr>
        <w:t xml:space="preserve"> sign</w:t>
      </w:r>
    </w:p>
    <w:p w14:paraId="5893B592" w14:textId="77777777" w:rsidR="0024403D" w:rsidRPr="00DA594B" w:rsidRDefault="0024403D" w:rsidP="0024403D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DA594B">
        <w:rPr>
          <w:rFonts w:ascii="Arial" w:hAnsi="Arial" w:cs="Arial"/>
          <w:kern w:val="24"/>
        </w:rPr>
        <w:t>Positive Barlow test</w:t>
      </w:r>
    </w:p>
    <w:p w14:paraId="35A97F7A" w14:textId="77777777" w:rsidR="0024403D" w:rsidRPr="00DA594B" w:rsidRDefault="0024403D" w:rsidP="0024403D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DA594B">
        <w:rPr>
          <w:rFonts w:ascii="Arial" w:hAnsi="Arial" w:cs="Arial"/>
          <w:kern w:val="24"/>
        </w:rPr>
        <w:t>Clinical management</w:t>
      </w:r>
    </w:p>
    <w:p w14:paraId="428C3234" w14:textId="77777777" w:rsidR="0024403D" w:rsidRPr="00DA594B" w:rsidRDefault="0024403D" w:rsidP="0024403D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DA594B">
        <w:rPr>
          <w:rFonts w:ascii="Arial" w:hAnsi="Arial" w:cs="Arial"/>
          <w:kern w:val="24"/>
        </w:rPr>
        <w:t>Outcome becomes poorer with age</w:t>
      </w:r>
    </w:p>
    <w:p w14:paraId="176EC84A" w14:textId="77777777" w:rsidR="0024403D" w:rsidRPr="00DA594B" w:rsidRDefault="0024403D" w:rsidP="0024403D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proofErr w:type="spellStart"/>
      <w:r w:rsidRPr="00DA594B">
        <w:rPr>
          <w:rFonts w:ascii="Arial" w:hAnsi="Arial" w:cs="Arial"/>
          <w:kern w:val="24"/>
        </w:rPr>
        <w:t>Pavlik</w:t>
      </w:r>
      <w:proofErr w:type="spellEnd"/>
      <w:r w:rsidRPr="00DA594B">
        <w:rPr>
          <w:rFonts w:ascii="Arial" w:hAnsi="Arial" w:cs="Arial"/>
          <w:kern w:val="24"/>
        </w:rPr>
        <w:t xml:space="preserve"> harness</w:t>
      </w:r>
    </w:p>
    <w:p w14:paraId="100678BB" w14:textId="77777777" w:rsidR="0024403D" w:rsidRPr="00DA594B" w:rsidRDefault="0024403D" w:rsidP="0024403D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DA594B">
        <w:rPr>
          <w:rFonts w:ascii="Arial" w:hAnsi="Arial" w:cs="Arial"/>
          <w:kern w:val="24"/>
        </w:rPr>
        <w:t xml:space="preserve">Closed reduction with </w:t>
      </w:r>
      <w:proofErr w:type="spellStart"/>
      <w:r w:rsidRPr="00DA594B">
        <w:rPr>
          <w:rFonts w:ascii="Arial" w:hAnsi="Arial" w:cs="Arial"/>
          <w:kern w:val="24"/>
        </w:rPr>
        <w:t>spica</w:t>
      </w:r>
      <w:proofErr w:type="spellEnd"/>
      <w:r w:rsidRPr="00DA594B">
        <w:rPr>
          <w:rFonts w:ascii="Arial" w:hAnsi="Arial" w:cs="Arial"/>
          <w:kern w:val="24"/>
        </w:rPr>
        <w:t xml:space="preserve"> casting</w:t>
      </w:r>
    </w:p>
    <w:p w14:paraId="63525A19" w14:textId="77777777" w:rsidR="0024403D" w:rsidRPr="00DA594B" w:rsidRDefault="0024403D" w:rsidP="0024403D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DA594B">
        <w:rPr>
          <w:rFonts w:ascii="Arial" w:hAnsi="Arial" w:cs="Arial"/>
          <w:kern w:val="24"/>
        </w:rPr>
        <w:t>Surgery</w:t>
      </w:r>
    </w:p>
    <w:p w14:paraId="69576BD0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kern w:val="24"/>
        </w:rPr>
      </w:pPr>
    </w:p>
    <w:p w14:paraId="59CFF8A2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1A82322D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0FCB9B3A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110EC05D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7DF65D6A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6F6A9D19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6819B001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3C82142B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654C8E7C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45031538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2251EDF2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3C222645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0522F83E" w14:textId="77777777" w:rsidR="0024403D" w:rsidRPr="004F22B4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proofErr w:type="spellStart"/>
      <w:r w:rsidRPr="004F22B4">
        <w:rPr>
          <w:rFonts w:ascii="Arial" w:hAnsi="Arial" w:cs="Arial"/>
          <w:b/>
          <w:kern w:val="24"/>
        </w:rPr>
        <w:lastRenderedPageBreak/>
        <w:t>Osteogenesis</w:t>
      </w:r>
      <w:proofErr w:type="spellEnd"/>
      <w:r w:rsidRPr="004F22B4">
        <w:rPr>
          <w:rFonts w:ascii="Arial" w:hAnsi="Arial" w:cs="Arial"/>
          <w:b/>
          <w:kern w:val="24"/>
        </w:rPr>
        <w:t xml:space="preserve"> </w:t>
      </w:r>
      <w:proofErr w:type="spellStart"/>
      <w:r w:rsidRPr="004F22B4">
        <w:rPr>
          <w:rFonts w:ascii="Arial" w:hAnsi="Arial" w:cs="Arial"/>
          <w:b/>
          <w:kern w:val="24"/>
        </w:rPr>
        <w:t>Imperfecta</w:t>
      </w:r>
      <w:proofErr w:type="spellEnd"/>
      <w:r w:rsidRPr="004F22B4">
        <w:rPr>
          <w:rFonts w:ascii="Arial" w:hAnsi="Arial" w:cs="Arial"/>
          <w:b/>
          <w:kern w:val="24"/>
        </w:rPr>
        <w:t xml:space="preserve"> - “Brittle bone disease”</w:t>
      </w:r>
    </w:p>
    <w:p w14:paraId="299A0777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>
        <w:rPr>
          <w:rFonts w:ascii="Arial" w:hAnsi="Arial" w:cs="Arial"/>
          <w:b/>
          <w:noProof/>
          <w:kern w:val="24"/>
        </w:rPr>
        <w:drawing>
          <wp:anchor distT="0" distB="0" distL="114300" distR="114300" simplePos="0" relativeHeight="251661312" behindDoc="0" locked="0" layoutInCell="1" allowOverlap="1" wp14:anchorId="35C7B3BA" wp14:editId="4946AECD">
            <wp:simplePos x="0" y="0"/>
            <wp:positionH relativeFrom="column">
              <wp:posOffset>3580765</wp:posOffset>
            </wp:positionH>
            <wp:positionV relativeFrom="paragraph">
              <wp:posOffset>67310</wp:posOffset>
            </wp:positionV>
            <wp:extent cx="2507615" cy="2324100"/>
            <wp:effectExtent l="0" t="0" r="6985" b="0"/>
            <wp:wrapSquare wrapText="bothSides"/>
            <wp:docPr id="572434" name="Picture 57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UMTT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BB1">
        <w:rPr>
          <w:rFonts w:ascii="Arial" w:hAnsi="Arial" w:cs="Arial"/>
          <w:kern w:val="24"/>
        </w:rPr>
        <w:t>Defect in type I collagen production</w:t>
      </w:r>
    </w:p>
    <w:p w14:paraId="151D28C4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Bone and vessel collagen</w:t>
      </w:r>
    </w:p>
    <w:p w14:paraId="1AB19416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Clinical manifestations:</w:t>
      </w:r>
    </w:p>
    <w:p w14:paraId="298AE244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Osteopenia</w:t>
      </w:r>
    </w:p>
    <w:p w14:paraId="50170F1D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Increased rate of fractures</w:t>
      </w:r>
    </w:p>
    <w:p w14:paraId="1FAB9F28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Bone deformity (bowing)</w:t>
      </w:r>
    </w:p>
    <w:p w14:paraId="16059049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Short stature</w:t>
      </w:r>
    </w:p>
    <w:p w14:paraId="6E7CF052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Blue sclera and poor dentition</w:t>
      </w:r>
    </w:p>
    <w:p w14:paraId="4A1C75A5" w14:textId="77777777" w:rsidR="0024403D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Aortic aneurysm</w:t>
      </w:r>
    </w:p>
    <w:p w14:paraId="40DA1E85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kern w:val="24"/>
        </w:rPr>
      </w:pPr>
    </w:p>
    <w:p w14:paraId="0AD1BD85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kern w:val="24"/>
        </w:rPr>
      </w:pPr>
    </w:p>
    <w:p w14:paraId="2B604BB1" w14:textId="77777777" w:rsidR="0024403D" w:rsidRPr="00923C54" w:rsidRDefault="0024403D" w:rsidP="0024403D">
      <w:pPr>
        <w:autoSpaceDE w:val="0"/>
        <w:autoSpaceDN w:val="0"/>
        <w:adjustRightInd w:val="0"/>
        <w:rPr>
          <w:rFonts w:ascii="Arial" w:hAnsi="Arial" w:cs="Arial"/>
          <w:kern w:val="24"/>
        </w:rPr>
      </w:pPr>
    </w:p>
    <w:p w14:paraId="28449DDE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Clinical management:</w:t>
      </w:r>
    </w:p>
    <w:p w14:paraId="6B691BF2" w14:textId="77777777" w:rsidR="0024403D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Surgical</w:t>
      </w:r>
    </w:p>
    <w:p w14:paraId="3A620C00" w14:textId="77777777" w:rsidR="0024403D" w:rsidRPr="00C92BB1" w:rsidRDefault="0024403D" w:rsidP="0024403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Intramedullary and telescoping rod placement</w:t>
      </w:r>
    </w:p>
    <w:p w14:paraId="5E7323DB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Medical</w:t>
      </w:r>
    </w:p>
    <w:p w14:paraId="023369D2" w14:textId="77777777" w:rsidR="0024403D" w:rsidRPr="00C92BB1" w:rsidRDefault="0024403D" w:rsidP="0024403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Increased calcium and vitamin D</w:t>
      </w:r>
    </w:p>
    <w:p w14:paraId="096F47ED" w14:textId="77777777" w:rsidR="0024403D" w:rsidRDefault="0024403D" w:rsidP="0024403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proofErr w:type="spellStart"/>
      <w:r w:rsidRPr="00C92BB1">
        <w:rPr>
          <w:rFonts w:ascii="Arial" w:hAnsi="Arial" w:cs="Arial"/>
          <w:kern w:val="24"/>
        </w:rPr>
        <w:t>Biphosphates</w:t>
      </w:r>
      <w:proofErr w:type="spellEnd"/>
    </w:p>
    <w:p w14:paraId="0D271024" w14:textId="77777777" w:rsidR="0024403D" w:rsidRPr="00923C54" w:rsidRDefault="0024403D" w:rsidP="0024403D">
      <w:pPr>
        <w:pStyle w:val="ListParagraph"/>
        <w:autoSpaceDE w:val="0"/>
        <w:autoSpaceDN w:val="0"/>
        <w:adjustRightInd w:val="0"/>
        <w:ind w:left="2160"/>
        <w:rPr>
          <w:rFonts w:ascii="Arial" w:hAnsi="Arial" w:cs="Arial"/>
          <w:kern w:val="24"/>
        </w:rPr>
      </w:pPr>
    </w:p>
    <w:p w14:paraId="2EA2F2A9" w14:textId="77777777" w:rsidR="0024403D" w:rsidRPr="004F22B4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4F22B4">
        <w:rPr>
          <w:rFonts w:ascii="Arial" w:hAnsi="Arial" w:cs="Arial"/>
          <w:b/>
          <w:kern w:val="24"/>
        </w:rPr>
        <w:t>Osteomyelitis</w:t>
      </w:r>
    </w:p>
    <w:p w14:paraId="3C4413D1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Bone infection from bacteria or tuberculosis (granulomatous)</w:t>
      </w:r>
    </w:p>
    <w:p w14:paraId="1AB90462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>
        <w:rPr>
          <w:rFonts w:ascii="Arial" w:hAnsi="Arial" w:cs="Arial"/>
          <w:b/>
          <w:noProof/>
          <w:kern w:val="24"/>
        </w:rPr>
        <w:drawing>
          <wp:anchor distT="0" distB="0" distL="114300" distR="114300" simplePos="0" relativeHeight="251662336" behindDoc="0" locked="0" layoutInCell="1" allowOverlap="1" wp14:anchorId="37ACCC35" wp14:editId="7B22F002">
            <wp:simplePos x="0" y="0"/>
            <wp:positionH relativeFrom="column">
              <wp:posOffset>2470785</wp:posOffset>
            </wp:positionH>
            <wp:positionV relativeFrom="paragraph">
              <wp:posOffset>332740</wp:posOffset>
            </wp:positionV>
            <wp:extent cx="3713480" cy="2974340"/>
            <wp:effectExtent l="0" t="0" r="0" b="0"/>
            <wp:wrapSquare wrapText="bothSides"/>
            <wp:docPr id="572435" name="Picture 57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eomyelit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48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BB1">
        <w:rPr>
          <w:rFonts w:ascii="Arial" w:hAnsi="Arial" w:cs="Arial"/>
          <w:kern w:val="24"/>
        </w:rPr>
        <w:t xml:space="preserve">Acute </w:t>
      </w:r>
      <w:proofErr w:type="spellStart"/>
      <w:r w:rsidRPr="00C92BB1">
        <w:rPr>
          <w:rFonts w:ascii="Arial" w:hAnsi="Arial" w:cs="Arial"/>
          <w:kern w:val="24"/>
        </w:rPr>
        <w:t>hematogenous</w:t>
      </w:r>
      <w:proofErr w:type="spellEnd"/>
      <w:r w:rsidRPr="00C92BB1">
        <w:rPr>
          <w:rFonts w:ascii="Arial" w:hAnsi="Arial" w:cs="Arial"/>
          <w:kern w:val="24"/>
        </w:rPr>
        <w:t xml:space="preserve"> osteomyelitis in children frequently begins as a blood abscess in the metaphysis of the bone</w:t>
      </w:r>
    </w:p>
    <w:p w14:paraId="46E9D3B5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 xml:space="preserve">The abscess ruptures under the periosteum and spreads along the bone shaft or into the bone marrow </w:t>
      </w:r>
    </w:p>
    <w:p w14:paraId="136B91C3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Clinical manifestations:</w:t>
      </w:r>
    </w:p>
    <w:p w14:paraId="20C39280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Pain, swelling, warmth, fever</w:t>
      </w:r>
    </w:p>
    <w:p w14:paraId="09D7F5DF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Elevated white blood cells, C-reactive protein, and erythrocyte sedimentation rate</w:t>
      </w:r>
    </w:p>
    <w:p w14:paraId="3D00166C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Clinical management:</w:t>
      </w:r>
    </w:p>
    <w:p w14:paraId="4768FFBB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Antibiotics for 6-week regimen</w:t>
      </w:r>
    </w:p>
    <w:p w14:paraId="22278240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Surgical debridement</w:t>
      </w:r>
    </w:p>
    <w:p w14:paraId="60BC9881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3E33831A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5939480C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058DD8C4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2DC199F7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773C6C7F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641B472F" w14:textId="77777777" w:rsidR="0024403D" w:rsidRPr="004F22B4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noProof/>
          <w:kern w:val="24"/>
        </w:rPr>
        <w:drawing>
          <wp:anchor distT="0" distB="0" distL="114300" distR="114300" simplePos="0" relativeHeight="251663360" behindDoc="0" locked="0" layoutInCell="1" allowOverlap="1" wp14:anchorId="065E6601" wp14:editId="6E7BEFC7">
            <wp:simplePos x="0" y="0"/>
            <wp:positionH relativeFrom="column">
              <wp:posOffset>3354070</wp:posOffset>
            </wp:positionH>
            <wp:positionV relativeFrom="paragraph">
              <wp:posOffset>0</wp:posOffset>
            </wp:positionV>
            <wp:extent cx="2667635" cy="3088640"/>
            <wp:effectExtent l="0" t="0" r="0" b="10160"/>
            <wp:wrapSquare wrapText="bothSides"/>
            <wp:docPr id="572436" name="Picture 57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ic arthritis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2B4">
        <w:rPr>
          <w:rFonts w:ascii="Arial" w:hAnsi="Arial" w:cs="Arial"/>
          <w:b/>
          <w:kern w:val="24"/>
        </w:rPr>
        <w:t>Septic Arthritis</w:t>
      </w:r>
    </w:p>
    <w:p w14:paraId="0586CA71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Caused by bacteria or granulomatous</w:t>
      </w:r>
    </w:p>
    <w:p w14:paraId="1F1107E7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Surgical emergency</w:t>
      </w:r>
    </w:p>
    <w:p w14:paraId="6B68DAE5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 xml:space="preserve">Occurs primarily or secondary to osteomyelitis </w:t>
      </w:r>
    </w:p>
    <w:p w14:paraId="30A262F3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Lysosomes destroy articular cartilage and interrupt blood supply</w:t>
      </w:r>
    </w:p>
    <w:p w14:paraId="60BAE382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Clinical manifestations:</w:t>
      </w:r>
    </w:p>
    <w:p w14:paraId="7CB6ED41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proofErr w:type="spellStart"/>
      <w:r w:rsidRPr="00C92BB1">
        <w:rPr>
          <w:rFonts w:ascii="Arial" w:hAnsi="Arial" w:cs="Arial"/>
          <w:kern w:val="24"/>
        </w:rPr>
        <w:t>Pseudoparalysis</w:t>
      </w:r>
      <w:proofErr w:type="spellEnd"/>
    </w:p>
    <w:p w14:paraId="10B8E08F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Inability to bear weight</w:t>
      </w:r>
    </w:p>
    <w:p w14:paraId="1F8B90DD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Guarded motion of the joint</w:t>
      </w:r>
    </w:p>
    <w:p w14:paraId="484129A1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Malaise</w:t>
      </w:r>
    </w:p>
    <w:p w14:paraId="06E6D9F0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Anorexia</w:t>
      </w:r>
    </w:p>
    <w:p w14:paraId="6143747F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Clinical management:</w:t>
      </w:r>
    </w:p>
    <w:p w14:paraId="73D921B2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i/>
          <w:iCs/>
          <w:kern w:val="24"/>
        </w:rPr>
        <w:t xml:space="preserve">Staphylococcus </w:t>
      </w:r>
      <w:proofErr w:type="spellStart"/>
      <w:r w:rsidRPr="00C92BB1">
        <w:rPr>
          <w:rFonts w:ascii="Arial" w:hAnsi="Arial" w:cs="Arial"/>
          <w:i/>
          <w:iCs/>
          <w:kern w:val="24"/>
        </w:rPr>
        <w:t>aureus</w:t>
      </w:r>
      <w:proofErr w:type="spellEnd"/>
      <w:r w:rsidRPr="00C92BB1">
        <w:rPr>
          <w:rFonts w:ascii="Arial" w:hAnsi="Arial" w:cs="Arial"/>
          <w:kern w:val="24"/>
        </w:rPr>
        <w:t xml:space="preserve"> most common bacteria</w:t>
      </w:r>
    </w:p>
    <w:p w14:paraId="6BEEA9A4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Surgical debridement</w:t>
      </w:r>
    </w:p>
    <w:p w14:paraId="3DEEDBB5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Antibiotic therapy</w:t>
      </w:r>
    </w:p>
    <w:p w14:paraId="0F6F9496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Long-term follow-up</w:t>
      </w:r>
    </w:p>
    <w:p w14:paraId="46A3EC33" w14:textId="77777777" w:rsidR="0024403D" w:rsidRPr="00C413D4" w:rsidRDefault="0024403D" w:rsidP="0024403D">
      <w:pPr>
        <w:autoSpaceDE w:val="0"/>
        <w:autoSpaceDN w:val="0"/>
        <w:adjustRightInd w:val="0"/>
        <w:ind w:left="-360"/>
        <w:rPr>
          <w:rFonts w:ascii="Arial" w:hAnsi="Arial" w:cs="Arial"/>
          <w:b/>
          <w:kern w:val="24"/>
        </w:rPr>
      </w:pPr>
    </w:p>
    <w:p w14:paraId="19A932BA" w14:textId="77777777" w:rsidR="0024403D" w:rsidRPr="00C413D4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C413D4">
        <w:rPr>
          <w:rFonts w:ascii="Arial" w:hAnsi="Arial" w:cs="Arial"/>
          <w:b/>
          <w:kern w:val="24"/>
        </w:rPr>
        <w:t>Juvenile Rheumatoid Arthritis (JRA)</w:t>
      </w:r>
    </w:p>
    <w:p w14:paraId="0B0BC704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>
        <w:rPr>
          <w:rFonts w:ascii="Arial" w:hAnsi="Arial" w:cs="Arial"/>
          <w:b/>
          <w:noProof/>
          <w:kern w:val="24"/>
        </w:rPr>
        <w:drawing>
          <wp:anchor distT="0" distB="0" distL="114300" distR="114300" simplePos="0" relativeHeight="251665408" behindDoc="0" locked="0" layoutInCell="1" allowOverlap="1" wp14:anchorId="23AAA712" wp14:editId="64D82817">
            <wp:simplePos x="0" y="0"/>
            <wp:positionH relativeFrom="column">
              <wp:posOffset>3137535</wp:posOffset>
            </wp:positionH>
            <wp:positionV relativeFrom="paragraph">
              <wp:posOffset>146050</wp:posOffset>
            </wp:positionV>
            <wp:extent cx="3296920" cy="2394585"/>
            <wp:effectExtent l="0" t="0" r="5080" b="0"/>
            <wp:wrapThrough wrapText="bothSides">
              <wp:wrapPolygon edited="0">
                <wp:start x="0" y="0"/>
                <wp:lineTo x="0" y="21308"/>
                <wp:lineTo x="21467" y="21308"/>
                <wp:lineTo x="21467" y="0"/>
                <wp:lineTo x="0" y="0"/>
              </wp:wrapPolygon>
            </wp:wrapThrough>
            <wp:docPr id="572439" name="Picture 572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439" name="Get-the-Facts-About-Juvenile-Rheumatoid-Arthritis-1440x8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BB1">
        <w:rPr>
          <w:rFonts w:ascii="Arial" w:hAnsi="Arial" w:cs="Arial"/>
          <w:kern w:val="24"/>
        </w:rPr>
        <w:t>Childhood form of rheumatoid arthritis</w:t>
      </w:r>
    </w:p>
    <w:p w14:paraId="5DDE95D4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The basic pathophysiology of JRA is the same as the adult form</w:t>
      </w:r>
    </w:p>
    <w:p w14:paraId="3F26DAC1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Three distinct modes of onset:</w:t>
      </w:r>
    </w:p>
    <w:p w14:paraId="50A2F7CD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proofErr w:type="spellStart"/>
      <w:r w:rsidRPr="00C92BB1">
        <w:rPr>
          <w:rFonts w:ascii="Arial" w:hAnsi="Arial" w:cs="Arial"/>
          <w:kern w:val="24"/>
        </w:rPr>
        <w:t>Oligoarthritis</w:t>
      </w:r>
      <w:proofErr w:type="spellEnd"/>
    </w:p>
    <w:p w14:paraId="17095D93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Polyarthritis</w:t>
      </w:r>
    </w:p>
    <w:p w14:paraId="5D578BAB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Stills disease</w:t>
      </w:r>
    </w:p>
    <w:p w14:paraId="029612F7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Differences in JRA and adult RA:</w:t>
      </w:r>
    </w:p>
    <w:p w14:paraId="52623A2A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Large joints are affected</w:t>
      </w:r>
    </w:p>
    <w:p w14:paraId="1D5E2C16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Chronic uveitis</w:t>
      </w:r>
    </w:p>
    <w:p w14:paraId="40CE15C5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Low detection of rheumatoid factor</w:t>
      </w:r>
    </w:p>
    <w:p w14:paraId="3D25EEDF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 xml:space="preserve">Subluxation and </w:t>
      </w:r>
      <w:proofErr w:type="spellStart"/>
      <w:r w:rsidRPr="00C92BB1">
        <w:rPr>
          <w:rFonts w:ascii="Arial" w:hAnsi="Arial" w:cs="Arial"/>
          <w:kern w:val="24"/>
        </w:rPr>
        <w:t>ankylosis</w:t>
      </w:r>
      <w:proofErr w:type="spellEnd"/>
      <w:r w:rsidRPr="00C92BB1">
        <w:rPr>
          <w:rFonts w:ascii="Arial" w:hAnsi="Arial" w:cs="Arial"/>
          <w:kern w:val="24"/>
        </w:rPr>
        <w:t xml:space="preserve"> of the cervical spine</w:t>
      </w:r>
    </w:p>
    <w:p w14:paraId="7349C5B6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Treatment</w:t>
      </w:r>
    </w:p>
    <w:p w14:paraId="7032DC1D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Supportive with anti-inflammatories and methotrexate</w:t>
      </w:r>
    </w:p>
    <w:p w14:paraId="6A332E42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kern w:val="24"/>
        </w:rPr>
      </w:pPr>
    </w:p>
    <w:p w14:paraId="48827F34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5156D6F0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0B80A85B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61C76580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398DD36A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10F46346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0A913F23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012FD8DE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239F6423" w14:textId="77777777" w:rsidR="0024403D" w:rsidRPr="00C413D4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proofErr w:type="spellStart"/>
      <w:r w:rsidRPr="00C413D4">
        <w:rPr>
          <w:rFonts w:ascii="Arial" w:hAnsi="Arial" w:cs="Arial"/>
          <w:b/>
          <w:kern w:val="24"/>
        </w:rPr>
        <w:t>Osteochondrosis</w:t>
      </w:r>
      <w:proofErr w:type="spellEnd"/>
    </w:p>
    <w:p w14:paraId="34D161FE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Avascular diseases of the bone</w:t>
      </w:r>
    </w:p>
    <w:p w14:paraId="5FA912FE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 xml:space="preserve">Decrease blood supply </w:t>
      </w:r>
    </w:p>
    <w:p w14:paraId="744A87EE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Trauma</w:t>
      </w:r>
    </w:p>
    <w:p w14:paraId="6A4D9BF6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Change in clotting sensitivity</w:t>
      </w:r>
    </w:p>
    <w:p w14:paraId="3E6518CA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Vascular injury</w:t>
      </w:r>
    </w:p>
    <w:p w14:paraId="4774D0DA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Legg-</w:t>
      </w:r>
      <w:proofErr w:type="spellStart"/>
      <w:r w:rsidRPr="00C92BB1">
        <w:rPr>
          <w:rFonts w:ascii="Arial" w:hAnsi="Arial" w:cs="Arial"/>
          <w:kern w:val="24"/>
        </w:rPr>
        <w:t>Calvé</w:t>
      </w:r>
      <w:proofErr w:type="spellEnd"/>
      <w:r w:rsidRPr="00C92BB1">
        <w:rPr>
          <w:rFonts w:ascii="Arial" w:hAnsi="Arial" w:cs="Arial"/>
          <w:kern w:val="24"/>
        </w:rPr>
        <w:t>-</w:t>
      </w:r>
      <w:proofErr w:type="spellStart"/>
      <w:r w:rsidRPr="00C92BB1">
        <w:rPr>
          <w:rFonts w:ascii="Arial" w:hAnsi="Arial" w:cs="Arial"/>
          <w:kern w:val="24"/>
        </w:rPr>
        <w:t>Perthes</w:t>
      </w:r>
      <w:proofErr w:type="spellEnd"/>
      <w:r w:rsidRPr="00C92BB1">
        <w:rPr>
          <w:rFonts w:ascii="Arial" w:hAnsi="Arial" w:cs="Arial"/>
          <w:kern w:val="24"/>
        </w:rPr>
        <w:t xml:space="preserve"> disease</w:t>
      </w:r>
    </w:p>
    <w:p w14:paraId="677D225F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Interrupted blood supply to the femoral head</w:t>
      </w:r>
    </w:p>
    <w:p w14:paraId="469C74EC" w14:textId="77777777" w:rsidR="0024403D" w:rsidRPr="00C413D4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Deformation due to ischemia is permanent</w:t>
      </w:r>
    </w:p>
    <w:p w14:paraId="7B3E567A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Clinical manifestations:</w:t>
      </w:r>
    </w:p>
    <w:p w14:paraId="218870DF" w14:textId="77777777" w:rsidR="0024403D" w:rsidRPr="00C92BB1" w:rsidRDefault="0024403D" w:rsidP="0024403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Spasm on rotation of hip</w:t>
      </w:r>
    </w:p>
    <w:p w14:paraId="0A5ED9E1" w14:textId="77777777" w:rsidR="0024403D" w:rsidRPr="00C92BB1" w:rsidRDefault="0024403D" w:rsidP="0024403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Limited internal rotation or abduction of hip</w:t>
      </w:r>
    </w:p>
    <w:p w14:paraId="73D94F6C" w14:textId="77777777" w:rsidR="0024403D" w:rsidRPr="00C92BB1" w:rsidRDefault="0024403D" w:rsidP="0024403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Trendelenburg gait</w:t>
      </w:r>
    </w:p>
    <w:p w14:paraId="72C8D565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Clinical management:</w:t>
      </w:r>
    </w:p>
    <w:p w14:paraId="1DAF8AF0" w14:textId="77777777" w:rsidR="0024403D" w:rsidRPr="00C92BB1" w:rsidRDefault="0024403D" w:rsidP="0024403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Anti-inflammatories</w:t>
      </w:r>
    </w:p>
    <w:p w14:paraId="7271EDC7" w14:textId="77777777" w:rsidR="0024403D" w:rsidRPr="00C92BB1" w:rsidRDefault="0024403D" w:rsidP="0024403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Serial radiographs</w:t>
      </w:r>
    </w:p>
    <w:p w14:paraId="17BBEE45" w14:textId="77777777" w:rsidR="0024403D" w:rsidRDefault="0024403D" w:rsidP="0024403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Surgery</w:t>
      </w:r>
    </w:p>
    <w:p w14:paraId="1FB09407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kern w:val="24"/>
        </w:rPr>
      </w:pPr>
    </w:p>
    <w:p w14:paraId="542B848B" w14:textId="77777777" w:rsidR="0024403D" w:rsidRPr="006A4FB4" w:rsidRDefault="0024403D" w:rsidP="0024403D">
      <w:pPr>
        <w:autoSpaceDE w:val="0"/>
        <w:autoSpaceDN w:val="0"/>
        <w:adjustRightInd w:val="0"/>
        <w:rPr>
          <w:rFonts w:ascii="Arial" w:hAnsi="Arial" w:cs="Arial"/>
          <w:kern w:val="24"/>
        </w:rPr>
      </w:pPr>
    </w:p>
    <w:p w14:paraId="2488A496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6A4FB4">
        <w:rPr>
          <w:rFonts w:ascii="Arial" w:hAnsi="Arial" w:cs="Arial"/>
          <w:noProof/>
          <w:kern w:val="24"/>
        </w:rPr>
        <w:drawing>
          <wp:inline distT="0" distB="0" distL="0" distR="0" wp14:anchorId="5386F04B" wp14:editId="7ABD4356">
            <wp:extent cx="5943600" cy="1704109"/>
            <wp:effectExtent l="0" t="0" r="0" b="0"/>
            <wp:docPr id="572437" name="Picture 5" descr="038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03800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0"/>
                    <a:stretch/>
                  </pic:blipFill>
                  <pic:spPr bwMode="auto">
                    <a:xfrm>
                      <a:off x="0" y="0"/>
                      <a:ext cx="5943600" cy="170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ECB09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kern w:val="24"/>
        </w:rPr>
      </w:pPr>
    </w:p>
    <w:p w14:paraId="1D5FE91F" w14:textId="77777777" w:rsidR="0024403D" w:rsidRPr="006A4FB4" w:rsidRDefault="0024403D" w:rsidP="0024403D">
      <w:pPr>
        <w:autoSpaceDE w:val="0"/>
        <w:autoSpaceDN w:val="0"/>
        <w:adjustRightInd w:val="0"/>
        <w:rPr>
          <w:rFonts w:ascii="Arial" w:hAnsi="Arial" w:cs="Arial"/>
          <w:kern w:val="24"/>
        </w:rPr>
      </w:pPr>
    </w:p>
    <w:p w14:paraId="037EFD5E" w14:textId="77777777" w:rsidR="0024403D" w:rsidRPr="003D058B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Osgood-</w:t>
      </w:r>
      <w:proofErr w:type="spellStart"/>
      <w:r>
        <w:rPr>
          <w:rFonts w:ascii="Arial" w:hAnsi="Arial" w:cs="Arial"/>
          <w:b/>
          <w:kern w:val="24"/>
        </w:rPr>
        <w:t>Schlatter</w:t>
      </w:r>
      <w:proofErr w:type="spellEnd"/>
      <w:r>
        <w:rPr>
          <w:rFonts w:ascii="Arial" w:hAnsi="Arial" w:cs="Arial"/>
          <w:b/>
          <w:kern w:val="24"/>
        </w:rPr>
        <w:t xml:space="preserve"> D</w:t>
      </w:r>
      <w:r w:rsidRPr="003D058B">
        <w:rPr>
          <w:rFonts w:ascii="Arial" w:hAnsi="Arial" w:cs="Arial"/>
          <w:b/>
          <w:kern w:val="24"/>
        </w:rPr>
        <w:t>isease</w:t>
      </w:r>
    </w:p>
    <w:p w14:paraId="39CAADFB" w14:textId="77777777" w:rsidR="0024403D" w:rsidRDefault="0024403D" w:rsidP="0024403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3D058B">
        <w:rPr>
          <w:rFonts w:ascii="Arial" w:hAnsi="Arial" w:cs="Arial"/>
          <w:kern w:val="24"/>
        </w:rPr>
        <w:t xml:space="preserve">Tendinitis of the anterior patellar tendon and </w:t>
      </w:r>
      <w:proofErr w:type="spellStart"/>
      <w:r w:rsidRPr="003D058B">
        <w:rPr>
          <w:rFonts w:ascii="Arial" w:hAnsi="Arial" w:cs="Arial"/>
          <w:kern w:val="24"/>
        </w:rPr>
        <w:t>osteochondrosis</w:t>
      </w:r>
      <w:proofErr w:type="spellEnd"/>
      <w:r w:rsidRPr="003D058B">
        <w:rPr>
          <w:rFonts w:ascii="Arial" w:hAnsi="Arial" w:cs="Arial"/>
          <w:kern w:val="24"/>
        </w:rPr>
        <w:t xml:space="preserve"> of the tubercle of the tibia</w:t>
      </w:r>
    </w:p>
    <w:p w14:paraId="2F813DD1" w14:textId="77777777" w:rsidR="0024403D" w:rsidRDefault="0024403D" w:rsidP="0024403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3D058B">
        <w:rPr>
          <w:rFonts w:ascii="Arial" w:hAnsi="Arial" w:cs="Arial"/>
          <w:kern w:val="24"/>
        </w:rPr>
        <w:t>One of the most common ailments in children involved in sports</w:t>
      </w:r>
    </w:p>
    <w:p w14:paraId="0C2D4748" w14:textId="77777777" w:rsidR="0024403D" w:rsidRDefault="0024403D" w:rsidP="0024403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3D058B">
        <w:rPr>
          <w:rFonts w:ascii="Arial" w:hAnsi="Arial" w:cs="Arial"/>
          <w:kern w:val="24"/>
        </w:rPr>
        <w:t>Clinical manifestations:</w:t>
      </w:r>
    </w:p>
    <w:p w14:paraId="40144C27" w14:textId="77777777" w:rsidR="0024403D" w:rsidRDefault="0024403D" w:rsidP="0024403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B75C23">
        <w:rPr>
          <w:rFonts w:ascii="Arial" w:hAnsi="Arial" w:cs="Arial"/>
          <w:kern w:val="24"/>
        </w:rPr>
        <w:t>Pain</w:t>
      </w:r>
    </w:p>
    <w:p w14:paraId="65BA5A71" w14:textId="77777777" w:rsidR="0024403D" w:rsidRDefault="0024403D" w:rsidP="0024403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B75C23">
        <w:rPr>
          <w:rFonts w:ascii="Arial" w:hAnsi="Arial" w:cs="Arial"/>
          <w:kern w:val="24"/>
        </w:rPr>
        <w:t xml:space="preserve">Swelling </w:t>
      </w:r>
    </w:p>
    <w:p w14:paraId="392C9EEE" w14:textId="77777777" w:rsidR="0024403D" w:rsidRDefault="0024403D" w:rsidP="0024403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B75C23">
        <w:rPr>
          <w:rFonts w:ascii="Arial" w:hAnsi="Arial" w:cs="Arial"/>
          <w:kern w:val="24"/>
        </w:rPr>
        <w:t>Clinical management:</w:t>
      </w:r>
    </w:p>
    <w:p w14:paraId="7FD9F04A" w14:textId="77777777" w:rsidR="0024403D" w:rsidRDefault="0024403D" w:rsidP="0024403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B75C23">
        <w:rPr>
          <w:rFonts w:ascii="Arial" w:hAnsi="Arial" w:cs="Arial"/>
          <w:kern w:val="24"/>
        </w:rPr>
        <w:t>Restricted activity</w:t>
      </w:r>
    </w:p>
    <w:p w14:paraId="66E4534C" w14:textId="77777777" w:rsidR="0024403D" w:rsidRPr="00B75C23" w:rsidRDefault="0024403D" w:rsidP="0024403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B75C23">
        <w:rPr>
          <w:rFonts w:ascii="Arial" w:hAnsi="Arial" w:cs="Arial"/>
          <w:kern w:val="24"/>
        </w:rPr>
        <w:t>Bracing and knee immobilizer</w:t>
      </w:r>
    </w:p>
    <w:p w14:paraId="605C73BB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kern w:val="24"/>
        </w:rPr>
      </w:pPr>
      <w:r>
        <w:rPr>
          <w:rFonts w:ascii="Arial" w:hAnsi="Arial" w:cs="Arial"/>
          <w:noProof/>
          <w:kern w:val="24"/>
        </w:rPr>
        <w:drawing>
          <wp:anchor distT="0" distB="0" distL="114300" distR="114300" simplePos="0" relativeHeight="251664384" behindDoc="0" locked="0" layoutInCell="1" allowOverlap="1" wp14:anchorId="49CD2F21" wp14:editId="5F95EC9D">
            <wp:simplePos x="0" y="0"/>
            <wp:positionH relativeFrom="column">
              <wp:posOffset>3232150</wp:posOffset>
            </wp:positionH>
            <wp:positionV relativeFrom="paragraph">
              <wp:posOffset>92710</wp:posOffset>
            </wp:positionV>
            <wp:extent cx="3126105" cy="1696720"/>
            <wp:effectExtent l="0" t="0" r="0" b="0"/>
            <wp:wrapSquare wrapText="bothSides"/>
            <wp:docPr id="572438" name="Picture 57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lisoi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0C711" w14:textId="77777777" w:rsidR="0024403D" w:rsidRPr="00F2586E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F2586E">
        <w:rPr>
          <w:rFonts w:ascii="Arial" w:hAnsi="Arial" w:cs="Arial"/>
          <w:b/>
          <w:kern w:val="24"/>
        </w:rPr>
        <w:t>Scoliosis</w:t>
      </w:r>
    </w:p>
    <w:p w14:paraId="4571B3DD" w14:textId="77777777" w:rsidR="0024403D" w:rsidRPr="00F2586E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F2586E">
        <w:rPr>
          <w:rFonts w:ascii="Arial" w:hAnsi="Arial" w:cs="Arial"/>
          <w:kern w:val="24"/>
        </w:rPr>
        <w:t>Scoliosis is a curvature of the spine that involves both lateral curvature and rotation</w:t>
      </w:r>
    </w:p>
    <w:p w14:paraId="360DF336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F2586E">
        <w:rPr>
          <w:rFonts w:ascii="Arial" w:hAnsi="Arial" w:cs="Arial"/>
          <w:kern w:val="24"/>
        </w:rPr>
        <w:t>Idiopathic</w:t>
      </w:r>
      <w:r w:rsidRPr="00C92BB1">
        <w:rPr>
          <w:rFonts w:ascii="Arial" w:hAnsi="Arial" w:cs="Arial"/>
          <w:kern w:val="24"/>
        </w:rPr>
        <w:t xml:space="preserve"> (80% of cases)</w:t>
      </w:r>
    </w:p>
    <w:p w14:paraId="503834DC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Congenital</w:t>
      </w:r>
    </w:p>
    <w:p w14:paraId="1750B863" w14:textId="77777777" w:rsidR="0024403D" w:rsidRPr="00DA594B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Teratogen</w:t>
      </w:r>
    </w:p>
    <w:p w14:paraId="0EBE66FD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Medical management:</w:t>
      </w:r>
    </w:p>
    <w:p w14:paraId="3981B427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Bracing</w:t>
      </w:r>
    </w:p>
    <w:p w14:paraId="3FE91782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Surgery</w:t>
      </w:r>
    </w:p>
    <w:p w14:paraId="6C3799CF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kern w:val="24"/>
        </w:rPr>
      </w:pPr>
    </w:p>
    <w:p w14:paraId="2C149442" w14:textId="77777777" w:rsidR="0024403D" w:rsidRPr="00DA594B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DA594B">
        <w:rPr>
          <w:rFonts w:ascii="Arial" w:hAnsi="Arial" w:cs="Arial"/>
          <w:b/>
          <w:kern w:val="24"/>
        </w:rPr>
        <w:t>Muscular Dystrophies</w:t>
      </w:r>
    </w:p>
    <w:p w14:paraId="2C887DC5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Group of inherited disorders that cause degeneration of skeletal muscle fibers</w:t>
      </w:r>
    </w:p>
    <w:p w14:paraId="0B4DC796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The muscular dystrophies cause progressive, symmetric weakness and wasting of skeletal muscle groups</w:t>
      </w:r>
    </w:p>
    <w:p w14:paraId="41EE70E0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kern w:val="24"/>
        </w:rPr>
      </w:pPr>
    </w:p>
    <w:p w14:paraId="736D21BB" w14:textId="77777777" w:rsidR="0024403D" w:rsidRPr="00DA594B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proofErr w:type="spellStart"/>
      <w:r w:rsidRPr="00DA594B">
        <w:rPr>
          <w:rFonts w:ascii="Arial" w:hAnsi="Arial" w:cs="Arial"/>
          <w:b/>
          <w:kern w:val="24"/>
        </w:rPr>
        <w:t>Duchenne</w:t>
      </w:r>
      <w:proofErr w:type="spellEnd"/>
      <w:r w:rsidRPr="00DA594B">
        <w:rPr>
          <w:rFonts w:ascii="Arial" w:hAnsi="Arial" w:cs="Arial"/>
          <w:b/>
          <w:kern w:val="24"/>
        </w:rPr>
        <w:t xml:space="preserve"> Muscular Dystrophy</w:t>
      </w:r>
    </w:p>
    <w:p w14:paraId="3CB3F367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Most common of the muscular dystrophies</w:t>
      </w:r>
    </w:p>
    <w:p w14:paraId="5E8D829E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X-linked recessive inheritance</w:t>
      </w:r>
    </w:p>
    <w:p w14:paraId="75D8DD2F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Deletion of a segment of DNA or a single gene defect on the short arm of the X-chromosome</w:t>
      </w:r>
    </w:p>
    <w:p w14:paraId="1BAA4299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proofErr w:type="gramStart"/>
      <w:r w:rsidRPr="00C92BB1">
        <w:rPr>
          <w:rFonts w:ascii="Arial" w:hAnsi="Arial" w:cs="Arial"/>
          <w:kern w:val="24"/>
        </w:rPr>
        <w:t>Generally</w:t>
      </w:r>
      <w:proofErr w:type="gramEnd"/>
      <w:r w:rsidRPr="00C92BB1">
        <w:rPr>
          <w:rFonts w:ascii="Arial" w:hAnsi="Arial" w:cs="Arial"/>
          <w:kern w:val="24"/>
        </w:rPr>
        <w:t xml:space="preserve"> affects boys</w:t>
      </w:r>
    </w:p>
    <w:p w14:paraId="6DC9980F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proofErr w:type="spellStart"/>
      <w:r w:rsidRPr="00C92BB1">
        <w:rPr>
          <w:rFonts w:ascii="Arial" w:hAnsi="Arial" w:cs="Arial"/>
          <w:kern w:val="24"/>
        </w:rPr>
        <w:t>Duchenne</w:t>
      </w:r>
      <w:proofErr w:type="spellEnd"/>
      <w:r w:rsidRPr="00C92BB1">
        <w:rPr>
          <w:rFonts w:ascii="Arial" w:hAnsi="Arial" w:cs="Arial"/>
          <w:kern w:val="24"/>
        </w:rPr>
        <w:t xml:space="preserve"> muscular dystrophy gene</w:t>
      </w:r>
    </w:p>
    <w:p w14:paraId="69DB654B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 xml:space="preserve">Encodes for the </w:t>
      </w:r>
      <w:proofErr w:type="spellStart"/>
      <w:r w:rsidRPr="00C92BB1">
        <w:rPr>
          <w:rFonts w:ascii="Arial" w:hAnsi="Arial" w:cs="Arial"/>
          <w:kern w:val="24"/>
        </w:rPr>
        <w:t>dystrophin</w:t>
      </w:r>
      <w:proofErr w:type="spellEnd"/>
      <w:r w:rsidRPr="00C92BB1">
        <w:rPr>
          <w:rFonts w:ascii="Arial" w:hAnsi="Arial" w:cs="Arial"/>
          <w:kern w:val="24"/>
        </w:rPr>
        <w:t xml:space="preserve"> protein</w:t>
      </w:r>
    </w:p>
    <w:p w14:paraId="20C9D32D" w14:textId="77777777" w:rsidR="0024403D" w:rsidRPr="00DA594B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proofErr w:type="spellStart"/>
      <w:r w:rsidRPr="00C92BB1">
        <w:rPr>
          <w:rFonts w:ascii="Arial" w:hAnsi="Arial" w:cs="Arial"/>
          <w:kern w:val="24"/>
        </w:rPr>
        <w:t>Dystrophin</w:t>
      </w:r>
      <w:proofErr w:type="spellEnd"/>
      <w:r w:rsidRPr="00C92BB1">
        <w:rPr>
          <w:rFonts w:ascii="Arial" w:hAnsi="Arial" w:cs="Arial"/>
          <w:kern w:val="24"/>
        </w:rPr>
        <w:t xml:space="preserve"> maintains the structural integrity of the cytoskeleton</w:t>
      </w:r>
    </w:p>
    <w:p w14:paraId="79B73285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Manifestations of the disorder begin to appear by approximately 3 years of age:</w:t>
      </w:r>
    </w:p>
    <w:p w14:paraId="041A1BF8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Slow motor development</w:t>
      </w:r>
    </w:p>
    <w:p w14:paraId="78AFB21C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Progressive weakness</w:t>
      </w:r>
    </w:p>
    <w:p w14:paraId="0750E525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Muscle wasting</w:t>
      </w:r>
    </w:p>
    <w:p w14:paraId="4573716A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Sitting and standing are delayed</w:t>
      </w:r>
    </w:p>
    <w:p w14:paraId="78D2D974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The child is clumsy, falls frequently, and has difficulty climbing stairs</w:t>
      </w:r>
    </w:p>
    <w:p w14:paraId="4BED3133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kern w:val="24"/>
        </w:rPr>
      </w:pPr>
    </w:p>
    <w:p w14:paraId="65854751" w14:textId="77777777" w:rsidR="0024403D" w:rsidRPr="00DA594B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DA594B">
        <w:rPr>
          <w:rFonts w:ascii="Arial" w:hAnsi="Arial" w:cs="Arial"/>
          <w:b/>
          <w:kern w:val="24"/>
        </w:rPr>
        <w:t>Musculoskeletal Tumors</w:t>
      </w:r>
    </w:p>
    <w:p w14:paraId="450DEDCE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Benign bone tumors</w:t>
      </w:r>
    </w:p>
    <w:p w14:paraId="4268C995" w14:textId="77777777" w:rsidR="0024403D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proofErr w:type="spellStart"/>
      <w:r w:rsidRPr="00C92BB1">
        <w:rPr>
          <w:rFonts w:ascii="Arial" w:hAnsi="Arial" w:cs="Arial"/>
          <w:kern w:val="24"/>
        </w:rPr>
        <w:t>Osteochondroma</w:t>
      </w:r>
      <w:proofErr w:type="spellEnd"/>
    </w:p>
    <w:p w14:paraId="490A397D" w14:textId="77777777" w:rsidR="0024403D" w:rsidRPr="000D3DBA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0D3DBA">
        <w:rPr>
          <w:rFonts w:ascii="Arial" w:hAnsi="Arial" w:cs="Arial"/>
          <w:kern w:val="24"/>
        </w:rPr>
        <w:t xml:space="preserve">Inherited syndrome of hereditary multiple </w:t>
      </w:r>
      <w:proofErr w:type="spellStart"/>
      <w:r w:rsidRPr="000D3DBA">
        <w:rPr>
          <w:rFonts w:ascii="Arial" w:hAnsi="Arial" w:cs="Arial"/>
          <w:kern w:val="24"/>
        </w:rPr>
        <w:t>exostoses</w:t>
      </w:r>
      <w:proofErr w:type="spellEnd"/>
    </w:p>
    <w:p w14:paraId="284C3A84" w14:textId="77777777" w:rsidR="0024403D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proofErr w:type="spellStart"/>
      <w:r w:rsidRPr="00C92BB1">
        <w:rPr>
          <w:rFonts w:ascii="Arial" w:hAnsi="Arial" w:cs="Arial"/>
          <w:kern w:val="24"/>
        </w:rPr>
        <w:t>Nonossifying</w:t>
      </w:r>
      <w:proofErr w:type="spellEnd"/>
      <w:r w:rsidRPr="00C92BB1">
        <w:rPr>
          <w:rFonts w:ascii="Arial" w:hAnsi="Arial" w:cs="Arial"/>
          <w:kern w:val="24"/>
        </w:rPr>
        <w:t xml:space="preserve"> fibroma</w:t>
      </w:r>
    </w:p>
    <w:p w14:paraId="0F6DA615" w14:textId="77777777" w:rsidR="0024403D" w:rsidRPr="000D3DBA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0D3DBA">
        <w:rPr>
          <w:rFonts w:ascii="Arial" w:hAnsi="Arial" w:cs="Arial"/>
          <w:kern w:val="24"/>
        </w:rPr>
        <w:t xml:space="preserve">Sharply demarcated, cortically based lesions of </w:t>
      </w:r>
      <w:proofErr w:type="spellStart"/>
      <w:r w:rsidRPr="000D3DBA">
        <w:rPr>
          <w:rFonts w:ascii="Arial" w:hAnsi="Arial" w:cs="Arial"/>
          <w:kern w:val="24"/>
        </w:rPr>
        <w:t>fibrocytes</w:t>
      </w:r>
      <w:proofErr w:type="spellEnd"/>
      <w:r w:rsidRPr="000D3DBA">
        <w:rPr>
          <w:rFonts w:ascii="Arial" w:hAnsi="Arial" w:cs="Arial"/>
          <w:kern w:val="24"/>
        </w:rPr>
        <w:t xml:space="preserve"> </w:t>
      </w:r>
    </w:p>
    <w:p w14:paraId="7C893C15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center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 xml:space="preserve">Musculoskeletal Tumors </w:t>
      </w:r>
    </w:p>
    <w:p w14:paraId="37D2E445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308C019C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06268FA6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10617BD8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06D8CB37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45F8A3DE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6EB35FE6" w14:textId="77777777" w:rsidR="0024403D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</w:p>
    <w:p w14:paraId="7272FC1A" w14:textId="77777777" w:rsidR="0024403D" w:rsidRPr="000D3DBA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r w:rsidRPr="000D3DBA">
        <w:rPr>
          <w:rFonts w:ascii="Arial" w:hAnsi="Arial" w:cs="Arial"/>
          <w:b/>
          <w:kern w:val="24"/>
        </w:rPr>
        <w:t>Malignant bone tumors</w:t>
      </w:r>
    </w:p>
    <w:p w14:paraId="403E73E5" w14:textId="77777777" w:rsidR="0024403D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Osteosarcoma</w:t>
      </w:r>
    </w:p>
    <w:p w14:paraId="36F0FB2C" w14:textId="77777777" w:rsidR="0024403D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0D3DBA">
        <w:rPr>
          <w:rFonts w:ascii="Arial" w:hAnsi="Arial" w:cs="Arial"/>
          <w:kern w:val="24"/>
        </w:rPr>
        <w:t>Most common tumor in childhood</w:t>
      </w:r>
    </w:p>
    <w:p w14:paraId="55E09ECD" w14:textId="77777777" w:rsidR="0024403D" w:rsidRPr="000D3DBA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0D3DBA">
        <w:rPr>
          <w:rFonts w:ascii="Arial" w:hAnsi="Arial" w:cs="Arial"/>
          <w:kern w:val="24"/>
        </w:rPr>
        <w:t>Originates in mesenchymal cells</w:t>
      </w:r>
      <w:r>
        <w:rPr>
          <w:rFonts w:ascii="Arial" w:hAnsi="Arial" w:cs="Arial"/>
          <w:kern w:val="24"/>
        </w:rPr>
        <w:t xml:space="preserve"> - </w:t>
      </w:r>
      <w:r w:rsidRPr="000D3DBA">
        <w:rPr>
          <w:rFonts w:ascii="Arial" w:hAnsi="Arial" w:cs="Arial"/>
          <w:kern w:val="24"/>
        </w:rPr>
        <w:t>Linked to deletion of genetic material</w:t>
      </w:r>
    </w:p>
    <w:p w14:paraId="2538F3D1" w14:textId="77777777" w:rsidR="0024403D" w:rsidRPr="000D3DBA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0D3DBA">
        <w:rPr>
          <w:rFonts w:ascii="Arial" w:hAnsi="Arial" w:cs="Arial"/>
          <w:kern w:val="24"/>
        </w:rPr>
        <w:t>Bulky tumor extending into soft tissue</w:t>
      </w:r>
    </w:p>
    <w:p w14:paraId="14EE6E7F" w14:textId="77777777" w:rsidR="0024403D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Clinical manifestations:</w:t>
      </w:r>
    </w:p>
    <w:p w14:paraId="1A11C240" w14:textId="77777777" w:rsidR="0024403D" w:rsidRDefault="0024403D" w:rsidP="0024403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0D3DBA">
        <w:rPr>
          <w:rFonts w:ascii="Arial" w:hAnsi="Arial" w:cs="Arial"/>
          <w:kern w:val="24"/>
        </w:rPr>
        <w:t xml:space="preserve">Night pain, swelling, warmth, </w:t>
      </w:r>
    </w:p>
    <w:p w14:paraId="3655C8FF" w14:textId="77777777" w:rsidR="0024403D" w:rsidRDefault="0024403D" w:rsidP="0024403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0D3DBA">
        <w:rPr>
          <w:rFonts w:ascii="Arial" w:hAnsi="Arial" w:cs="Arial"/>
          <w:kern w:val="24"/>
        </w:rPr>
        <w:t>Cough, dyspnea, and chest pain if lung metastasis</w:t>
      </w:r>
    </w:p>
    <w:p w14:paraId="140CBDE0" w14:textId="77777777" w:rsidR="0024403D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0D3DBA">
        <w:rPr>
          <w:rFonts w:ascii="Arial" w:hAnsi="Arial" w:cs="Arial"/>
          <w:kern w:val="24"/>
        </w:rPr>
        <w:t>Clinical management:</w:t>
      </w:r>
    </w:p>
    <w:p w14:paraId="47DCE8AE" w14:textId="77777777" w:rsidR="0024403D" w:rsidRDefault="0024403D" w:rsidP="0024403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0D3DBA">
        <w:rPr>
          <w:rFonts w:ascii="Arial" w:hAnsi="Arial" w:cs="Arial"/>
          <w:kern w:val="24"/>
        </w:rPr>
        <w:t>Graded according to malignancy</w:t>
      </w:r>
    </w:p>
    <w:p w14:paraId="00D73ECB" w14:textId="77777777" w:rsidR="0024403D" w:rsidRPr="000D3DBA" w:rsidRDefault="0024403D" w:rsidP="0024403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0D3DBA">
        <w:rPr>
          <w:rFonts w:ascii="Arial" w:hAnsi="Arial" w:cs="Arial"/>
          <w:kern w:val="24"/>
        </w:rPr>
        <w:t>Surgery and chemotherapy</w:t>
      </w:r>
    </w:p>
    <w:p w14:paraId="5C90B495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Ewing sarcoma</w:t>
      </w:r>
    </w:p>
    <w:p w14:paraId="366C92DF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Most lethal bone tumor</w:t>
      </w:r>
    </w:p>
    <w:p w14:paraId="7E4B32AD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 xml:space="preserve">Translocation of chromosome </w:t>
      </w:r>
    </w:p>
    <w:p w14:paraId="25E4037F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Breaks through bone to form soft tissue mass</w:t>
      </w:r>
    </w:p>
    <w:p w14:paraId="3766E14D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Metastasizes to nearly every organ</w:t>
      </w:r>
    </w:p>
    <w:p w14:paraId="00DE095D" w14:textId="77777777" w:rsidR="0024403D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Clinical manifestations:</w:t>
      </w:r>
    </w:p>
    <w:p w14:paraId="6119E5B6" w14:textId="77777777" w:rsidR="0024403D" w:rsidRPr="000D3DBA" w:rsidRDefault="0024403D" w:rsidP="0024403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0D3DBA">
        <w:rPr>
          <w:rFonts w:ascii="Arial" w:hAnsi="Arial" w:cs="Arial"/>
          <w:kern w:val="24"/>
        </w:rPr>
        <w:t>Pain that increases in severity</w:t>
      </w:r>
    </w:p>
    <w:p w14:paraId="398E6869" w14:textId="77777777" w:rsidR="0024403D" w:rsidRPr="000D3DBA" w:rsidRDefault="0024403D" w:rsidP="0024403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Fever</w:t>
      </w:r>
      <w:r>
        <w:rPr>
          <w:rFonts w:ascii="Arial" w:hAnsi="Arial" w:cs="Arial"/>
          <w:kern w:val="24"/>
        </w:rPr>
        <w:t xml:space="preserve">, </w:t>
      </w:r>
      <w:r w:rsidRPr="000D3DBA">
        <w:rPr>
          <w:rFonts w:ascii="Arial" w:hAnsi="Arial" w:cs="Arial"/>
          <w:kern w:val="24"/>
        </w:rPr>
        <w:t>Malaise</w:t>
      </w:r>
      <w:r>
        <w:rPr>
          <w:rFonts w:ascii="Arial" w:hAnsi="Arial" w:cs="Arial"/>
          <w:kern w:val="24"/>
        </w:rPr>
        <w:t xml:space="preserve">, </w:t>
      </w:r>
      <w:r w:rsidRPr="000D3DBA">
        <w:rPr>
          <w:rFonts w:ascii="Arial" w:hAnsi="Arial" w:cs="Arial"/>
          <w:kern w:val="24"/>
        </w:rPr>
        <w:t>Anorexia</w:t>
      </w:r>
    </w:p>
    <w:p w14:paraId="27485BAA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Clinical management:</w:t>
      </w:r>
    </w:p>
    <w:p w14:paraId="1DF1423B" w14:textId="77777777" w:rsidR="0024403D" w:rsidRPr="00C92BB1" w:rsidRDefault="0024403D" w:rsidP="0024403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Radiation and chemotherapy</w:t>
      </w:r>
    </w:p>
    <w:p w14:paraId="4B86911F" w14:textId="77777777" w:rsidR="0024403D" w:rsidRPr="00C92BB1" w:rsidRDefault="0024403D" w:rsidP="0024403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Surgical debridement</w:t>
      </w:r>
    </w:p>
    <w:p w14:paraId="047A3B3D" w14:textId="77777777" w:rsidR="0024403D" w:rsidRDefault="0024403D" w:rsidP="0024403D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</w:p>
    <w:p w14:paraId="603F58FE" w14:textId="77777777" w:rsidR="0024403D" w:rsidRPr="000D3DBA" w:rsidRDefault="0024403D" w:rsidP="0024403D">
      <w:pPr>
        <w:autoSpaceDE w:val="0"/>
        <w:autoSpaceDN w:val="0"/>
        <w:adjustRightInd w:val="0"/>
        <w:rPr>
          <w:rFonts w:ascii="Arial" w:hAnsi="Arial" w:cs="Arial"/>
          <w:b/>
          <w:kern w:val="24"/>
        </w:rPr>
      </w:pPr>
      <w:proofErr w:type="spellStart"/>
      <w:r w:rsidRPr="000D3DBA">
        <w:rPr>
          <w:rFonts w:ascii="Arial" w:hAnsi="Arial" w:cs="Arial"/>
          <w:b/>
          <w:kern w:val="24"/>
        </w:rPr>
        <w:t>Nonaccidental</w:t>
      </w:r>
      <w:proofErr w:type="spellEnd"/>
      <w:r w:rsidRPr="000D3DBA">
        <w:rPr>
          <w:rFonts w:ascii="Arial" w:hAnsi="Arial" w:cs="Arial"/>
          <w:b/>
          <w:kern w:val="24"/>
        </w:rPr>
        <w:t xml:space="preserve"> Trauma</w:t>
      </w:r>
    </w:p>
    <w:p w14:paraId="7945ED33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 xml:space="preserve">“Corner” </w:t>
      </w:r>
      <w:proofErr w:type="spellStart"/>
      <w:r w:rsidRPr="00C92BB1">
        <w:rPr>
          <w:rFonts w:ascii="Arial" w:hAnsi="Arial" w:cs="Arial"/>
          <w:kern w:val="24"/>
        </w:rPr>
        <w:t>metaphyseal</w:t>
      </w:r>
      <w:proofErr w:type="spellEnd"/>
      <w:r w:rsidRPr="00C92BB1">
        <w:rPr>
          <w:rFonts w:ascii="Arial" w:hAnsi="Arial" w:cs="Arial"/>
          <w:kern w:val="24"/>
        </w:rPr>
        <w:t xml:space="preserve"> fractures</w:t>
      </w:r>
    </w:p>
    <w:p w14:paraId="0AA9B112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Long bone fractures caused by a twisting force</w:t>
      </w:r>
    </w:p>
    <w:p w14:paraId="2AFAB69D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 xml:space="preserve">Transverse </w:t>
      </w:r>
      <w:proofErr w:type="spellStart"/>
      <w:r w:rsidRPr="00C92BB1">
        <w:rPr>
          <w:rFonts w:ascii="Arial" w:hAnsi="Arial" w:cs="Arial"/>
          <w:kern w:val="24"/>
        </w:rPr>
        <w:t>tibial</w:t>
      </w:r>
      <w:proofErr w:type="spellEnd"/>
      <w:r w:rsidRPr="00C92BB1">
        <w:rPr>
          <w:rFonts w:ascii="Arial" w:hAnsi="Arial" w:cs="Arial"/>
          <w:kern w:val="24"/>
        </w:rPr>
        <w:t xml:space="preserve"> fractures are the most common</w:t>
      </w:r>
    </w:p>
    <w:p w14:paraId="6F3C6BEA" w14:textId="77777777" w:rsidR="0024403D" w:rsidRPr="00C92BB1" w:rsidRDefault="0024403D" w:rsidP="002440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 xml:space="preserve">Associated with child abuse, but </w:t>
      </w:r>
      <w:proofErr w:type="spellStart"/>
      <w:r w:rsidRPr="00C92BB1">
        <w:rPr>
          <w:rFonts w:ascii="Arial" w:hAnsi="Arial" w:cs="Arial"/>
          <w:kern w:val="24"/>
        </w:rPr>
        <w:t>osteogenesis</w:t>
      </w:r>
      <w:proofErr w:type="spellEnd"/>
      <w:r w:rsidRPr="00C92BB1">
        <w:rPr>
          <w:rFonts w:ascii="Arial" w:hAnsi="Arial" w:cs="Arial"/>
          <w:kern w:val="24"/>
        </w:rPr>
        <w:t xml:space="preserve"> </w:t>
      </w:r>
      <w:proofErr w:type="spellStart"/>
      <w:r w:rsidRPr="00C92BB1">
        <w:rPr>
          <w:rFonts w:ascii="Arial" w:hAnsi="Arial" w:cs="Arial"/>
          <w:kern w:val="24"/>
        </w:rPr>
        <w:t>imperfecta</w:t>
      </w:r>
      <w:proofErr w:type="spellEnd"/>
      <w:r w:rsidRPr="00C92BB1">
        <w:rPr>
          <w:rFonts w:ascii="Arial" w:hAnsi="Arial" w:cs="Arial"/>
          <w:kern w:val="24"/>
        </w:rPr>
        <w:t xml:space="preserve"> must be ruled out</w:t>
      </w:r>
    </w:p>
    <w:p w14:paraId="7C04E9C3" w14:textId="77777777" w:rsidR="0024403D" w:rsidRPr="00C92BB1" w:rsidRDefault="0024403D" w:rsidP="0024403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kern w:val="24"/>
        </w:rPr>
      </w:pPr>
      <w:r w:rsidRPr="00C92BB1">
        <w:rPr>
          <w:rFonts w:ascii="Arial" w:hAnsi="Arial" w:cs="Arial"/>
          <w:kern w:val="24"/>
        </w:rPr>
        <w:t>Legally mandated to report child abuse</w:t>
      </w:r>
    </w:p>
    <w:p w14:paraId="6388E47C" w14:textId="77777777" w:rsidR="0024403D" w:rsidRPr="00C92BB1" w:rsidRDefault="0024403D" w:rsidP="0024403D">
      <w:pPr>
        <w:autoSpaceDE w:val="0"/>
        <w:autoSpaceDN w:val="0"/>
        <w:adjustRightInd w:val="0"/>
        <w:ind w:left="110"/>
        <w:rPr>
          <w:rFonts w:ascii="Arial" w:hAnsi="Arial" w:cs="Arial"/>
          <w:kern w:val="24"/>
        </w:rPr>
      </w:pPr>
    </w:p>
    <w:p w14:paraId="15B252A0" w14:textId="77777777" w:rsidR="0024403D" w:rsidRPr="00C92BB1" w:rsidRDefault="0024403D" w:rsidP="0024403D">
      <w:pPr>
        <w:rPr>
          <w:rFonts w:ascii="Arial" w:hAnsi="Arial" w:cs="Arial"/>
        </w:rPr>
      </w:pPr>
    </w:p>
    <w:p w14:paraId="751874FA" w14:textId="77777777" w:rsidR="0024403D" w:rsidRPr="000D1B7B" w:rsidRDefault="0024403D" w:rsidP="0024403D">
      <w:pPr>
        <w:tabs>
          <w:tab w:val="left" w:pos="4063"/>
        </w:tabs>
        <w:rPr>
          <w:rFonts w:ascii="Arial" w:hAnsi="Arial" w:cs="Arial"/>
        </w:rPr>
      </w:pPr>
    </w:p>
    <w:p w14:paraId="464C8525" w14:textId="77777777" w:rsidR="00130305" w:rsidRDefault="0024403D">
      <w:bookmarkStart w:id="0" w:name="_GoBack"/>
      <w:bookmarkEnd w:id="0"/>
    </w:p>
    <w:sectPr w:rsidR="00130305" w:rsidSect="00856DDD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324E5" w14:textId="77777777" w:rsidR="003D058B" w:rsidRDefault="0024403D" w:rsidP="00856D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B2136" w14:textId="77777777" w:rsidR="003D058B" w:rsidRDefault="0024403D" w:rsidP="00FF5E1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151AB" w14:textId="77777777" w:rsidR="003D058B" w:rsidRPr="00A52282" w:rsidRDefault="0024403D" w:rsidP="00856DDD">
    <w:pPr>
      <w:pStyle w:val="Footer"/>
      <w:framePr w:wrap="none" w:vAnchor="text" w:hAnchor="margin" w:xAlign="right" w:y="1"/>
      <w:rPr>
        <w:rStyle w:val="PageNumber"/>
        <w:rFonts w:ascii="Arial" w:hAnsi="Arial" w:cs="Arial"/>
        <w:b/>
        <w:sz w:val="36"/>
        <w:szCs w:val="36"/>
      </w:rPr>
    </w:pPr>
    <w:r w:rsidRPr="00A52282">
      <w:rPr>
        <w:rStyle w:val="PageNumber"/>
        <w:rFonts w:ascii="Arial" w:hAnsi="Arial" w:cs="Arial"/>
        <w:sz w:val="36"/>
        <w:szCs w:val="36"/>
      </w:rPr>
      <w:fldChar w:fldCharType="begin"/>
    </w:r>
    <w:r w:rsidRPr="00A52282">
      <w:rPr>
        <w:rStyle w:val="PageNumber"/>
        <w:rFonts w:ascii="Arial" w:hAnsi="Arial" w:cs="Arial"/>
        <w:sz w:val="36"/>
        <w:szCs w:val="36"/>
      </w:rPr>
      <w:instrText xml:space="preserve">PAGE  </w:instrText>
    </w:r>
    <w:r w:rsidRPr="00A52282">
      <w:rPr>
        <w:rStyle w:val="PageNumber"/>
        <w:rFonts w:ascii="Arial" w:hAnsi="Arial" w:cs="Arial"/>
        <w:sz w:val="36"/>
        <w:szCs w:val="36"/>
      </w:rPr>
      <w:fldChar w:fldCharType="separate"/>
    </w:r>
    <w:r>
      <w:rPr>
        <w:rStyle w:val="PageNumber"/>
        <w:rFonts w:ascii="Arial" w:hAnsi="Arial" w:cs="Arial"/>
        <w:noProof/>
        <w:sz w:val="36"/>
        <w:szCs w:val="36"/>
      </w:rPr>
      <w:t>6</w:t>
    </w:r>
    <w:r w:rsidRPr="00A52282">
      <w:rPr>
        <w:rStyle w:val="PageNumber"/>
        <w:rFonts w:ascii="Arial" w:hAnsi="Arial" w:cs="Arial"/>
        <w:sz w:val="36"/>
        <w:szCs w:val="36"/>
      </w:rPr>
      <w:fldChar w:fldCharType="end"/>
    </w:r>
  </w:p>
  <w:p w14:paraId="3C57060E" w14:textId="77777777" w:rsidR="003D058B" w:rsidRDefault="0024403D" w:rsidP="00FF5E1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4EF0"/>
    <w:multiLevelType w:val="hybridMultilevel"/>
    <w:tmpl w:val="0A76C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5613BE"/>
    <w:multiLevelType w:val="hybridMultilevel"/>
    <w:tmpl w:val="1F4E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3034B"/>
    <w:multiLevelType w:val="hybridMultilevel"/>
    <w:tmpl w:val="E8280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3D"/>
    <w:rsid w:val="0024403D"/>
    <w:rsid w:val="00483E38"/>
    <w:rsid w:val="00F2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0F9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0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4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03D"/>
  </w:style>
  <w:style w:type="character" w:styleId="PageNumber">
    <w:name w:val="page number"/>
    <w:basedOn w:val="DefaultParagraphFont"/>
    <w:uiPriority w:val="99"/>
    <w:semiHidden/>
    <w:unhideWhenUsed/>
    <w:rsid w:val="0024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803</Words>
  <Characters>4583</Characters>
  <Application>Microsoft Macintosh Word</Application>
  <DocSecurity>0</DocSecurity>
  <Lines>38</Lines>
  <Paragraphs>10</Paragraphs>
  <ScaleCrop>false</ScaleCrop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Mumaugh</dc:creator>
  <cp:keywords/>
  <dc:description/>
  <cp:lastModifiedBy>Gary Mumaugh</cp:lastModifiedBy>
  <cp:revision>1</cp:revision>
  <dcterms:created xsi:type="dcterms:W3CDTF">2017-01-27T23:44:00Z</dcterms:created>
  <dcterms:modified xsi:type="dcterms:W3CDTF">2017-01-27T23:44:00Z</dcterms:modified>
</cp:coreProperties>
</file>